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ROSCI0246ZPB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Tinovul Luci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32023104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74892661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93171641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270,07</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98,42%</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Harghita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203295385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36733704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54049544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46281296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37226480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99598734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76,26</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RONPA0482 Tinovul Luci;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Decizie ANMAP nr. 2918 din 22.10.2025 privind aprobarea planului de management pentru siturile ROSCI0246 Tinovu Luci și Rezervația 2.465 Tinovu Luci.</w:t>
      </w:r>
    </w:p>
    <w:p w:rsidR="00000000" w:rsidDel="00000000" w:rsidP="00000000" w:rsidRDefault="00000000" w:rsidRPr="00000000" w14:paraId="00000068">
      <w:pPr>
        <w:spacing w:after="0" w:line="240" w:lineRule="auto"/>
        <w:rPr>
          <w:sz w:val="22"/>
          <w:szCs w:val="22"/>
        </w:rPr>
      </w:pPr>
      <w:r w:rsidDel="00000000" w:rsidR="00000000" w:rsidRPr="00000000">
        <w:rPr>
          <w:rtl w:val="0"/>
        </w:rPr>
      </w:r>
    </w:p>
    <w:p w:rsidR="00000000" w:rsidDel="00000000" w:rsidP="00000000" w:rsidRDefault="00000000" w:rsidRPr="00000000" w14:paraId="00000069">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A">
      <w:pPr>
        <w:spacing w:after="0" w:line="240" w:lineRule="auto"/>
        <w:rPr>
          <w:sz w:val="22"/>
          <w:szCs w:val="22"/>
        </w:rPr>
      </w:pPr>
      <w:r w:rsidDel="00000000" w:rsidR="00000000" w:rsidRPr="00000000">
        <w:rPr>
          <w:rtl w:val="0"/>
        </w:rPr>
      </w:r>
    </w:p>
    <w:tbl>
      <w:tblPr>
        <w:tblStyle w:val="Table8"/>
        <w:tblW w:w="8970.0" w:type="dxa"/>
        <w:jc w:val="left"/>
        <w:tblInd w:w="10.0" w:type="dxa"/>
        <w:tblLayout w:type="fixed"/>
        <w:tblLook w:val="0400"/>
      </w:tblPr>
      <w:tblGrid>
        <w:gridCol w:w="3375"/>
        <w:gridCol w:w="5595"/>
        <w:tblGridChange w:id="0">
          <w:tblGrid>
            <w:gridCol w:w="3375"/>
            <w:gridCol w:w="55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E">
            <w:pPr>
              <w:spacing w:after="0" w:line="240" w:lineRule="auto"/>
              <w:ind w:left="20" w:firstLine="0"/>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F">
            <w:pPr>
              <w:spacing w:after="0" w:line="240" w:lineRule="auto"/>
              <w:ind w:left="20" w:firstLine="0"/>
              <w:rPr>
                <w:i w:val="1"/>
                <w:iCs w:val="1"/>
                <w:sz w:val="22"/>
                <w:szCs w:val="22"/>
              </w:rPr>
            </w:pPr>
            <w:r w:rsidDel="00000000" w:rsidR="00000000" w:rsidRPr="00000000">
              <w:rPr>
                <w:i w:val="1"/>
                <w:iCs w:val="1"/>
                <w:sz w:val="22"/>
                <w:szCs w:val="22"/>
                <w:rtl w:val="0"/>
              </w:rPr>
              <w:t xml:space="preserve">91D0* Turbării cu vegetaţie forestieră</w:t>
              <w:br w:type="textWrapping"/>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1">
            <w:pPr>
              <w:spacing w:after="0" w:line="240" w:lineRule="auto"/>
              <w:ind w:left="20" w:firstLine="0"/>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2">
            <w:pPr>
              <w:spacing w:after="0" w:line="240" w:lineRule="auto"/>
              <w:ind w:left="20" w:firstLine="0"/>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3">
            <w:pPr>
              <w:spacing w:after="0" w:line="240" w:lineRule="auto"/>
              <w:ind w:left="20" w:firstLine="0"/>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74">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5">
            <w:pPr>
              <w:spacing w:after="0" w:line="240" w:lineRule="auto"/>
              <w:ind w:left="20" w:firstLine="0"/>
              <w:rPr>
                <w:i w:val="1"/>
                <w:iCs w:val="1"/>
                <w:sz w:val="22"/>
                <w:szCs w:val="22"/>
              </w:rPr>
            </w:pPr>
            <w:r w:rsidDel="00000000" w:rsidR="00000000" w:rsidRPr="00000000">
              <w:rPr>
                <w:i w:val="1"/>
                <w:iCs w:val="1"/>
                <w:sz w:val="22"/>
                <w:szCs w:val="22"/>
                <w:rtl w:val="0"/>
              </w:rPr>
              <w:t xml:space="preserve">A108 Tetrao urogallus</w:t>
            </w:r>
          </w:p>
          <w:p w:rsidR="00000000" w:rsidDel="00000000" w:rsidP="00000000" w:rsidRDefault="00000000" w:rsidRPr="00000000" w14:paraId="00000076">
            <w:pPr>
              <w:spacing w:after="0" w:line="240" w:lineRule="auto"/>
              <w:ind w:left="20" w:firstLine="0"/>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7">
            <w:pPr>
              <w:spacing w:after="0" w:line="240" w:lineRule="auto"/>
              <w:ind w:left="20" w:firstLine="0"/>
              <w:rPr>
                <w:i w:val="1"/>
                <w:iCs w:val="1"/>
                <w:sz w:val="22"/>
                <w:szCs w:val="22"/>
              </w:rPr>
            </w:pPr>
            <w:r w:rsidDel="00000000" w:rsidR="00000000" w:rsidRPr="00000000">
              <w:rPr>
                <w:i w:val="1"/>
                <w:iCs w:val="1"/>
                <w:sz w:val="22"/>
                <w:szCs w:val="22"/>
                <w:rtl w:val="0"/>
              </w:rPr>
              <w:t xml:space="preserve">5131 Zootoca vivipara (Lacerta vivipara)</w:t>
            </w:r>
          </w:p>
          <w:p w:rsidR="00000000" w:rsidDel="00000000" w:rsidP="00000000" w:rsidRDefault="00000000" w:rsidRPr="00000000" w14:paraId="00000078">
            <w:pPr>
              <w:spacing w:after="0" w:line="240" w:lineRule="auto"/>
              <w:ind w:left="20" w:firstLine="0"/>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9">
            <w:pPr>
              <w:spacing w:after="0" w:line="240" w:lineRule="auto"/>
              <w:ind w:left="20" w:firstLine="0"/>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A">
            <w:pPr>
              <w:spacing w:after="0" w:line="240" w:lineRule="auto"/>
              <w:ind w:left="20" w:firstLine="0"/>
              <w:rPr>
                <w:i w:val="1"/>
                <w:iCs w:val="1"/>
                <w:sz w:val="22"/>
                <w:szCs w:val="22"/>
              </w:rPr>
            </w:pPr>
            <w:r w:rsidDel="00000000" w:rsidR="00000000" w:rsidRPr="00000000">
              <w:rPr>
                <w:i w:val="1"/>
                <w:iCs w:val="1"/>
                <w:sz w:val="22"/>
                <w:szCs w:val="22"/>
                <w:rtl w:val="0"/>
              </w:rPr>
              <w:t xml:space="preserve">1172 Triturus montandoni (Lissotriton montandoni)</w:t>
            </w:r>
          </w:p>
          <w:p w:rsidR="00000000" w:rsidDel="00000000" w:rsidP="00000000" w:rsidRDefault="00000000" w:rsidRPr="00000000" w14:paraId="0000007B">
            <w:pPr>
              <w:spacing w:after="0" w:line="240" w:lineRule="auto"/>
              <w:ind w:left="20" w:firstLine="0"/>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7C">
            <w:pPr>
              <w:spacing w:after="0" w:line="240" w:lineRule="auto"/>
              <w:ind w:left="20" w:firstLine="0"/>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D">
            <w:pPr>
              <w:spacing w:after="0" w:line="240" w:lineRule="auto"/>
              <w:ind w:left="20" w:firstLine="0"/>
              <w:rPr>
                <w:i w:val="1"/>
                <w:iCs w:val="1"/>
                <w:sz w:val="22"/>
                <w:szCs w:val="22"/>
              </w:rPr>
            </w:pPr>
            <w:r w:rsidDel="00000000" w:rsidR="00000000" w:rsidRPr="00000000">
              <w:rPr>
                <w:i w:val="1"/>
                <w:iCs w:val="1"/>
                <w:sz w:val="22"/>
                <w:szCs w:val="22"/>
                <w:rtl w:val="0"/>
              </w:rPr>
              <w:t xml:space="preserve">Betula nana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Pădurile virgine din perimetrul Tinovului Luci constituie un ecosistem de o valoare ecologică excepțională, reprezentând un monument al naturii neatins de activitățile umane și o adevărată relicvă a peisajelor postglaciare. Nucleul valoric al zonei este definit de turbăriile cu vegetație forestieră, un habitat prioritar extrem de rar și fragil, unde arborii se dezvoltă pe straturi groase de mușchi de turbă, într-un mediu cu umiditate permanentă. Caracterul virgin al acestei păduri, definit prin arbori seculari de dimensiuni impresionante și o abundență de lemn mort aflat în diferite stadii de descompunere, asigură reglarea hidrologică perfectă a întregului bazin și stocarea unor cantități uriașe de carbon. În plus, această insulă boreală adăpostește o bijuterie botanică unică: mesteacănul pitic, un relict glaciar de o rară valoare științifică, adaptat condițiilor climatice aspre și solurilor acide. Această sălbăticie structurală și absența totală a deranjului antropic oferă un refugiu critic pentru o faună montană strict protejată la nivel continental. Codrii seculari și mlaștinile ascunse reprezintă teritorii vitale de liniște și vânătoare pentru carnivorele mari ale Carpaților, precum ursul brun și râsul, dar și un sit de cuibărit de o importanță majoră pentru cocoșul de munte, o pasăre extrem de sensibilă la fragmentarea pădurilor bătrâne. Microclimatul umed și rece favorizează, de asemenea, o comunitate remarcabilă de herpetofaună, remarcându-se șopârla de munte (vivipară), alături de o suită de amfibieni dependenți de puritatea apelor de turbărie, precum tritonul carpatin, izvorașul cu burtă galbenă și broasca roșie de pădure. Prin urmare, pădurea virgină de la Tinovul Luci reprezintă un sanctuar ecologic intact, esențial pentru conservarea biodiversității și funcționarea naturală a proceselor evolutive.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24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1">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24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4">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95">
      <w:pPr>
        <w:spacing w:after="0" w:line="24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96">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97">
      <w:pPr>
        <w:spacing w:after="0" w:line="24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8">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A">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9B">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193,81</w:t>
      </w:r>
      <w:r w:rsidDel="00000000" w:rsidR="00000000" w:rsidRPr="00000000">
        <w:rPr>
          <w:rtl w:val="0"/>
        </w:rPr>
      </w:r>
    </w:p>
    <w:p w:rsidR="00000000" w:rsidDel="00000000" w:rsidP="00000000" w:rsidRDefault="00000000" w:rsidRPr="00000000" w14:paraId="0000009D">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RONPA0482 Tinovul Luci;</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Decizie ANMAP nr. 2918 din 22.10.2025 privind aprobarea planului de management pentru siturile ROSCI0246 Tinovu Luci și Rezervația 2.465 Tinovu Luci.</w:t>
      </w:r>
    </w:p>
    <w:p w:rsidR="00000000" w:rsidDel="00000000" w:rsidP="00000000" w:rsidRDefault="00000000" w:rsidRPr="00000000" w14:paraId="000000A2">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2925"/>
        <w:gridCol w:w="6030"/>
        <w:tblGridChange w:id="0">
          <w:tblGrid>
            <w:gridCol w:w="2925"/>
            <w:gridCol w:w="60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A6">
            <w:pPr>
              <w:spacing w:after="0" w:line="240" w:lineRule="auto"/>
              <w:ind w:left="20" w:firstLine="0"/>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A7">
            <w:pPr>
              <w:spacing w:after="0" w:line="240" w:lineRule="auto"/>
              <w:ind w:left="20" w:firstLine="0"/>
              <w:rPr>
                <w:i w:val="1"/>
                <w:iCs w:val="1"/>
                <w:sz w:val="22"/>
                <w:szCs w:val="22"/>
              </w:rPr>
            </w:pPr>
            <w:r w:rsidDel="00000000" w:rsidR="00000000" w:rsidRPr="00000000">
              <w:rPr>
                <w:i w:val="1"/>
                <w:iCs w:val="1"/>
                <w:sz w:val="22"/>
                <w:szCs w:val="22"/>
                <w:rtl w:val="0"/>
              </w:rPr>
              <w:t xml:space="preserve">91D0* Turbării cu vegetaţie forestieră</w:t>
            </w:r>
          </w:p>
          <w:p w:rsidR="00000000" w:rsidDel="00000000" w:rsidP="00000000" w:rsidRDefault="00000000" w:rsidRPr="00000000" w14:paraId="000000A8">
            <w:pPr>
              <w:spacing w:after="0" w:line="240" w:lineRule="auto"/>
              <w:ind w:left="20" w:firstLine="0"/>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A9">
            <w:pPr>
              <w:spacing w:after="0" w:line="240" w:lineRule="auto"/>
              <w:ind w:left="20" w:firstLine="0"/>
              <w:rPr>
                <w:i w:val="1"/>
                <w:iCs w:val="1"/>
                <w:sz w:val="22"/>
                <w:szCs w:val="22"/>
              </w:rPr>
            </w:pPr>
            <w:r w:rsidDel="00000000" w:rsidR="00000000" w:rsidRPr="00000000">
              <w:rPr>
                <w:i w:val="1"/>
                <w:iCs w:val="1"/>
                <w:sz w:val="22"/>
                <w:szCs w:val="22"/>
                <w:rtl w:val="0"/>
              </w:rPr>
              <w:t xml:space="preserve">7140 Mlaștini turboase de tranziție și turbării oscilante (nefixate de substrat)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30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AB">
            <w:pPr>
              <w:spacing w:after="0" w:line="240" w:lineRule="auto"/>
              <w:ind w:left="20" w:firstLine="0"/>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AC">
            <w:pPr>
              <w:spacing w:after="0" w:line="240" w:lineRule="auto"/>
              <w:ind w:left="20" w:firstLine="0"/>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AD">
            <w:pPr>
              <w:spacing w:after="0" w:line="240" w:lineRule="auto"/>
              <w:ind w:left="20" w:firstLine="0"/>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AE">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F">
            <w:pPr>
              <w:spacing w:after="0" w:line="240" w:lineRule="auto"/>
              <w:ind w:left="20" w:firstLine="0"/>
              <w:rPr>
                <w:i w:val="1"/>
                <w:iCs w:val="1"/>
                <w:sz w:val="22"/>
                <w:szCs w:val="22"/>
              </w:rPr>
            </w:pPr>
            <w:r w:rsidDel="00000000" w:rsidR="00000000" w:rsidRPr="00000000">
              <w:rPr>
                <w:i w:val="1"/>
                <w:iCs w:val="1"/>
                <w:sz w:val="22"/>
                <w:szCs w:val="22"/>
                <w:rtl w:val="0"/>
              </w:rPr>
              <w:t xml:space="preserve">A108 Tetrao urogallus</w:t>
            </w:r>
          </w:p>
          <w:p w:rsidR="00000000" w:rsidDel="00000000" w:rsidP="00000000" w:rsidRDefault="00000000" w:rsidRPr="00000000" w14:paraId="000000B0">
            <w:pPr>
              <w:spacing w:after="0" w:line="240" w:lineRule="auto"/>
              <w:ind w:left="20" w:firstLine="0"/>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B1">
            <w:pPr>
              <w:spacing w:after="0" w:line="240" w:lineRule="auto"/>
              <w:ind w:left="20" w:firstLine="0"/>
              <w:rPr>
                <w:i w:val="1"/>
                <w:iCs w:val="1"/>
                <w:sz w:val="22"/>
                <w:szCs w:val="22"/>
              </w:rPr>
            </w:pPr>
            <w:r w:rsidDel="00000000" w:rsidR="00000000" w:rsidRPr="00000000">
              <w:rPr>
                <w:i w:val="1"/>
                <w:iCs w:val="1"/>
                <w:sz w:val="22"/>
                <w:szCs w:val="22"/>
                <w:rtl w:val="0"/>
              </w:rPr>
              <w:t xml:space="preserve">5131 Zootoca vivipara (Lacerta vivipara)</w:t>
            </w:r>
          </w:p>
          <w:p w:rsidR="00000000" w:rsidDel="00000000" w:rsidP="00000000" w:rsidRDefault="00000000" w:rsidRPr="00000000" w14:paraId="000000B2">
            <w:pPr>
              <w:spacing w:after="0" w:line="240" w:lineRule="auto"/>
              <w:ind w:left="20" w:firstLine="0"/>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B3">
            <w:pPr>
              <w:spacing w:after="0" w:line="240" w:lineRule="auto"/>
              <w:ind w:left="20" w:firstLine="0"/>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B4">
            <w:pPr>
              <w:spacing w:after="0" w:line="240" w:lineRule="auto"/>
              <w:ind w:left="20" w:firstLine="0"/>
              <w:rPr>
                <w:i w:val="1"/>
                <w:iCs w:val="1"/>
                <w:sz w:val="22"/>
                <w:szCs w:val="22"/>
              </w:rPr>
            </w:pPr>
            <w:r w:rsidDel="00000000" w:rsidR="00000000" w:rsidRPr="00000000">
              <w:rPr>
                <w:i w:val="1"/>
                <w:iCs w:val="1"/>
                <w:sz w:val="22"/>
                <w:szCs w:val="22"/>
                <w:rtl w:val="0"/>
              </w:rPr>
              <w:t xml:space="preserve">1172 Triturus montandoni (Lissotriton montandoni)</w:t>
            </w:r>
          </w:p>
          <w:p w:rsidR="00000000" w:rsidDel="00000000" w:rsidP="00000000" w:rsidRDefault="00000000" w:rsidRPr="00000000" w14:paraId="000000B5">
            <w:pPr>
              <w:spacing w:after="0" w:line="240" w:lineRule="auto"/>
              <w:ind w:left="20" w:firstLine="0"/>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B6">
            <w:pPr>
              <w:spacing w:after="0" w:line="240" w:lineRule="auto"/>
              <w:ind w:left="20" w:firstLine="0"/>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B7">
            <w:pPr>
              <w:spacing w:after="0" w:line="240" w:lineRule="auto"/>
              <w:ind w:left="20" w:firstLine="0"/>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B8">
            <w:pPr>
              <w:spacing w:after="0" w:line="240" w:lineRule="auto"/>
              <w:ind w:left="20" w:firstLine="0"/>
              <w:rPr>
                <w:i w:val="1"/>
                <w:iCs w:val="1"/>
                <w:sz w:val="22"/>
                <w:szCs w:val="22"/>
              </w:rPr>
            </w:pPr>
            <w:r w:rsidDel="00000000" w:rsidR="00000000" w:rsidRPr="00000000">
              <w:rPr>
                <w:i w:val="1"/>
                <w:iCs w:val="1"/>
                <w:sz w:val="22"/>
                <w:szCs w:val="22"/>
                <w:rtl w:val="0"/>
              </w:rPr>
              <w:t xml:space="preserve">4095 Viola palustris</w:t>
            </w:r>
          </w:p>
          <w:p w:rsidR="00000000" w:rsidDel="00000000" w:rsidP="00000000" w:rsidRDefault="00000000" w:rsidRPr="00000000" w14:paraId="000000B9">
            <w:pPr>
              <w:spacing w:after="0" w:line="240" w:lineRule="auto"/>
              <w:ind w:left="20" w:firstLine="0"/>
              <w:rPr>
                <w:i w:val="1"/>
                <w:iCs w:val="1"/>
                <w:sz w:val="22"/>
                <w:szCs w:val="22"/>
              </w:rPr>
            </w:pPr>
            <w:r w:rsidDel="00000000" w:rsidR="00000000" w:rsidRPr="00000000">
              <w:rPr>
                <w:i w:val="1"/>
                <w:iCs w:val="1"/>
                <w:sz w:val="22"/>
                <w:szCs w:val="22"/>
                <w:rtl w:val="0"/>
              </w:rPr>
              <w:t xml:space="preserve">Betula nana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BD">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BE">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BF">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jc w:val="both"/>
              <w:rPr>
                <w:sz w:val="22"/>
                <w:szCs w:val="22"/>
              </w:rPr>
            </w:pPr>
            <w:r w:rsidDel="00000000" w:rsidR="00000000" w:rsidRPr="00000000">
              <w:rPr>
                <w:b w:val="1"/>
                <w:bCs w:val="1"/>
                <w:sz w:val="22"/>
                <w:szCs w:val="22"/>
                <w:rtl w:val="0"/>
              </w:rPr>
              <w:t xml:space="preserve">Obiective și măsuri în regim de non-intervenție pentru habitatele forestiere </w:t>
            </w:r>
            <w:r w:rsidDel="00000000" w:rsidR="00000000" w:rsidRPr="00000000">
              <w:rPr>
                <w:rtl w:val="0"/>
              </w:rPr>
            </w:r>
          </w:p>
          <w:p w:rsidR="00000000" w:rsidDel="00000000" w:rsidP="00000000" w:rsidRDefault="00000000" w:rsidRPr="00000000" w14:paraId="000000C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C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D2">
            <w:pPr>
              <w:jc w:val="both"/>
              <w:rPr>
                <w:sz w:val="22"/>
                <w:szCs w:val="22"/>
              </w:rPr>
            </w:pPr>
            <w:r w:rsidDel="00000000" w:rsidR="00000000" w:rsidRPr="00000000">
              <w:rPr>
                <w:b w:val="1"/>
                <w:bCs w:val="1"/>
                <w:sz w:val="22"/>
                <w:szCs w:val="22"/>
                <w:rtl w:val="0"/>
              </w:rPr>
              <w:t xml:space="preserve">Obiective și măsuri de non-intervenție pentru ecosistemele de turbării </w:t>
            </w:r>
            <w:r w:rsidDel="00000000" w:rsidR="00000000" w:rsidRPr="00000000">
              <w:rPr>
                <w:rtl w:val="0"/>
              </w:rPr>
            </w:r>
          </w:p>
          <w:p w:rsidR="00000000" w:rsidDel="00000000" w:rsidP="00000000" w:rsidRDefault="00000000" w:rsidRPr="00000000" w14:paraId="000000D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1. Conservarea regimului hidrologic natural al turbăriilor (nivel piezometric, alimentare prin precipitații/apă subterană, variabilitate sezonieră).</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2. Menținerea mozaicului tipic de microhabitate turbifere (covor de Sphagnum, ochiuri de apă liberă, depresiuni cu Rhynchosporion).</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3. Prevenirea eutrofizării și a aportului de sedimente sau substanțe poluante.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4. Conservarea dinamicii naturale a turbăriilor active (creștere lentă a substratului, succesiune ecologică naturală).</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5. Limitarea drastică a deranjului fizic — turbăriile sunt extrem de sensibile la tasare și fragmentare.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6. Detectarea timpurie a presiunilor și a efectelor schimbărilor climatice asupra hidrologiei și vegetației specifice.</w:t>
            </w:r>
          </w:p>
          <w:p w:rsidR="00000000" w:rsidDel="00000000" w:rsidP="00000000" w:rsidRDefault="00000000" w:rsidRPr="00000000" w14:paraId="000000D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 Nu se realizează lucrări de drenare, șanțuri, captări, regularizări sau alte intervenții care modifică hidrologia turbăriilor.</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2. Se interzice extragerea de turbă, depozitarea de materiale, umpluturile și orice acțiuni care provoacă tasare sau distrugerea covorului de Sphagnum.</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3. Se interzice traversarea turbăriilor în afara potecilor amenajate (acolo unde acestea există); pasarelele de lemn existente pot fi întreținute, dar nu se construiesc altele noi.</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4. Activitățile agro-pastorale (pășunat, cosit) sunt excluse — turbăriile sunt habitate naturale care nu necesită intervenție.</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5. Se interzic deversările, depozitările de deșeuri și utilizarea oricăror substanțe cu potențial poluant în bazinele hidrografice care alimentează turbăriile.</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6. Cercetarea și monitorizarea (piezometre, calitate apă, vegetație, specii indicator) se realizează cu impact minim, cu rute prestabilite și amplasare punctuală a echipamentelor.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Necunoscută </w:t>
            </w:r>
          </w:p>
        </w:tc>
      </w:tr>
    </w:tbl>
    <w:p w:rsidR="00000000" w:rsidDel="00000000" w:rsidP="00000000" w:rsidRDefault="00000000" w:rsidRPr="00000000" w14:paraId="000000E3">
      <w:pPr>
        <w:spacing w:after="0" w:line="300" w:lineRule="auto"/>
        <w:rPr>
          <w:sz w:val="22"/>
          <w:szCs w:val="22"/>
        </w:rPr>
      </w:pPr>
      <w:r w:rsidDel="00000000" w:rsidR="00000000" w:rsidRPr="00000000">
        <w:rPr>
          <w:rtl w:val="0"/>
        </w:rPr>
      </w:r>
    </w:p>
    <w:p w:rsidR="00000000" w:rsidDel="00000000" w:rsidP="00000000" w:rsidRDefault="00000000" w:rsidRPr="00000000" w14:paraId="000000E4">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Borbely, E., Indreica, A., 2019, Conservation status of the rare species Betula nana in the peatbog Tinovul Luci (the Harghita Mountains, Romania). Studia UBB, Vol. 64 No. 2</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Coldea, G., &amp; Plămadă, E. (1989). Vegetația mlaștinilor oligotrofe din Carpații românești (Cl. Oxycocco-Sphagnetea Br.-Bl. et Tx. 43). [in Romanian]. Contrib. Bot., 29, 37-44.</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POP (A.), 1981  – Similarității micocenologice  între  tinoavele Poiana Stampei,  Mohoş şi  Luci. Studii şi Comunicări  de Ocrotirea Naturii - Suceava, nr. 5, pp. 262 – 266.</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Dan Cogălniceanu, 1991, A preliminary report on the geographical distribution of amphibians in Romania, Revue Roumaine de Biologie Serie de Biologie Animale 36: 39- 50.</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rtl w:val="0"/>
        </w:rPr>
      </w:r>
    </w:p>
    <w:p w:rsidR="00000000" w:rsidDel="00000000" w:rsidP="00000000" w:rsidRDefault="00000000" w:rsidRPr="00000000" w14:paraId="000000EA">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between w:space="0" w:sz="0" w:val="nil"/>
        </w:pBdr>
        <w:spacing w:line="256" w:lineRule="auto"/>
        <w:rPr>
          <w:sz w:val="22"/>
          <w:szCs w:val="22"/>
        </w:rPr>
      </w:pPr>
      <w:r w:rsidDel="00000000" w:rsidR="00000000" w:rsidRPr="00000000">
        <w:rPr>
          <w:sz w:val="22"/>
          <w:szCs w:val="22"/>
          <w:rtl w:val="0"/>
        </w:rPr>
        <w:t xml:space="preserve">Consultări publice realizate: 18 iunie 2025 – Harghita. Ulterior, în cadrul procesului de consultare extins la nivel național, au avut loc consultări suplimentare online, în data de 19 ianuarie 2026 cu participarea factorilor interesați relevanți din județul Harghita și apoi în 26 -27 martie 2026  au avut loc consultări publice la Prefectura Harghita.</w:t>
      </w:r>
    </w:p>
    <w:p w:rsidR="00000000" w:rsidDel="00000000" w:rsidP="00000000" w:rsidRDefault="00000000" w:rsidRPr="00000000" w14:paraId="000000EC">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ED">
      <w:pPr>
        <w:spacing w:after="0" w:line="300" w:lineRule="auto"/>
        <w:jc w:val="center"/>
        <w:rPr>
          <w:b w:val="1"/>
          <w:bCs w:val="1"/>
          <w:sz w:val="22"/>
          <w:szCs w:val="22"/>
        </w:rPr>
      </w:pPr>
      <w:r w:rsidDel="00000000" w:rsidR="00000000" w:rsidRPr="00000000">
        <w:rPr>
          <w:b w:val="1"/>
          <w:bCs w:val="1"/>
          <w:sz w:val="22"/>
          <w:szCs w:val="22"/>
          <w:rtl w:val="0"/>
        </w:rPr>
        <w:t xml:space="preserve">Harta Zonelor Prioritare pentru Biodiversitate</w:t>
      </w:r>
    </w:p>
    <w:p w:rsidR="00000000" w:rsidDel="00000000" w:rsidP="00000000" w:rsidRDefault="00000000" w:rsidRPr="00000000" w14:paraId="000000EE">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EF">
      <w:pPr>
        <w:spacing w:after="0" w:line="300" w:lineRule="auto"/>
        <w:rPr>
          <w:sz w:val="22"/>
          <w:szCs w:val="22"/>
        </w:rPr>
      </w:pPr>
      <w:r w:rsidDel="00000000" w:rsidR="00000000" w:rsidRPr="00000000">
        <w:rPr>
          <w:rtl w:val="0"/>
        </w:rPr>
      </w:r>
    </w:p>
    <w:p w:rsidR="00000000" w:rsidDel="00000000" w:rsidP="00000000" w:rsidRDefault="00000000" w:rsidRPr="00000000" w14:paraId="000000F0">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OVKsfO7M7pcfi6YmaS8BK1t07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lZYXY4a2hXSFJycXRySkpGUnFqVHlITGxEWUxhOWJ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